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BA2743" w:rsidRPr="004464AC" w:rsidTr="00196ECA">
        <w:trPr>
          <w:trHeight w:val="1535"/>
        </w:trPr>
        <w:tc>
          <w:tcPr>
            <w:tcW w:w="993" w:type="dxa"/>
          </w:tcPr>
          <w:p w:rsidR="00BA2743" w:rsidRPr="004464AC" w:rsidRDefault="00BA2743" w:rsidP="00196ECA">
            <w:pPr>
              <w:snapToGrid w:val="0"/>
              <w:spacing w:after="280"/>
              <w:ind w:left="-142" w:right="-143" w:firstLine="426"/>
              <w:rPr>
                <w:b/>
                <w:bCs/>
                <w:i/>
                <w:iCs/>
                <w:sz w:val="32"/>
                <w:szCs w:val="27"/>
                <w:u w:val="single"/>
              </w:rPr>
            </w:pPr>
            <w:r w:rsidRPr="004464AC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E058E4E" wp14:editId="36313010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143510</wp:posOffset>
                  </wp:positionV>
                  <wp:extent cx="1588770" cy="6565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70" cy="65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vAlign w:val="center"/>
          </w:tcPr>
          <w:p w:rsidR="00BA2743" w:rsidRPr="004464AC" w:rsidRDefault="00BA2743" w:rsidP="00196ECA">
            <w:pPr>
              <w:suppressAutoHyphens/>
              <w:snapToGrid w:val="0"/>
              <w:ind w:left="-390" w:right="-143"/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</w:pPr>
            <w:r w:rsidRPr="004464AC">
              <w:rPr>
                <w:rFonts w:ascii="Calibri" w:eastAsia="Calibri" w:hAnsi="Calibri" w:cs="Calibri"/>
                <w:b/>
                <w:sz w:val="38"/>
                <w:szCs w:val="38"/>
                <w:lang w:eastAsia="ar-SA"/>
              </w:rPr>
              <w:t xml:space="preserve">                            </w:t>
            </w:r>
            <w:r w:rsidRPr="004464AC"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  <w:t>Центр Электронных Торговых Технологий</w:t>
            </w:r>
          </w:p>
          <w:p w:rsidR="00BA2743" w:rsidRPr="004464AC" w:rsidRDefault="00BA2743" w:rsidP="00196ECA">
            <w:pPr>
              <w:suppressAutoHyphens/>
              <w:ind w:right="-437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4464AC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                              </w:t>
            </w:r>
            <w:r w:rsidRPr="004464AC">
              <w:rPr>
                <w:rFonts w:ascii="Calibri" w:eastAsia="Calibri" w:hAnsi="Calibri" w:cs="Calibri"/>
                <w:b/>
                <w:sz w:val="24"/>
                <w:szCs w:val="24"/>
                <w:shd w:val="clear" w:color="auto" w:fill="548DD4"/>
                <w:lang w:eastAsia="ar-SA"/>
              </w:rPr>
              <w:t xml:space="preserve">   </w:t>
            </w:r>
            <w:r w:rsidRPr="004A3760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shd w:val="clear" w:color="auto" w:fill="548DD4"/>
                <w:lang w:eastAsia="ar-SA"/>
              </w:rPr>
              <w:t>Межрегиональный учебно-консультационный центр  «</w:t>
            </w:r>
            <w:proofErr w:type="spellStart"/>
            <w:r w:rsidRPr="004A3760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shd w:val="clear" w:color="auto" w:fill="548DD4"/>
                <w:lang w:eastAsia="ar-SA"/>
              </w:rPr>
              <w:t>Госзакупки</w:t>
            </w:r>
            <w:proofErr w:type="spellEnd"/>
            <w:r w:rsidRPr="004A3760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shd w:val="clear" w:color="auto" w:fill="548DD4"/>
                <w:lang w:eastAsia="ar-SA"/>
              </w:rPr>
              <w:t>»</w:t>
            </w:r>
            <w:proofErr w:type="gramStart"/>
            <w:r w:rsidRPr="004A3760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shd w:val="clear" w:color="auto" w:fill="548DD4"/>
                <w:lang w:eastAsia="ar-SA"/>
              </w:rPr>
              <w:t xml:space="preserve">  </w:t>
            </w:r>
            <w:r w:rsidRPr="004464AC">
              <w:rPr>
                <w:rFonts w:ascii="Calibri" w:eastAsia="Calibri" w:hAnsi="Calibri" w:cs="Calibri"/>
                <w:b/>
                <w:color w:val="F2F2F2"/>
                <w:sz w:val="24"/>
                <w:szCs w:val="24"/>
                <w:shd w:val="clear" w:color="auto" w:fill="548DD4"/>
                <w:lang w:eastAsia="ar-SA"/>
              </w:rPr>
              <w:t>.</w:t>
            </w:r>
            <w:proofErr w:type="gramEnd"/>
            <w:r w:rsidRPr="004464AC">
              <w:rPr>
                <w:rFonts w:ascii="Calibri" w:eastAsia="Calibri" w:hAnsi="Calibri" w:cs="Calibri"/>
                <w:b/>
                <w:color w:val="F2F2F2"/>
                <w:sz w:val="24"/>
                <w:szCs w:val="24"/>
                <w:shd w:val="clear" w:color="auto" w:fill="548DD4"/>
                <w:lang w:eastAsia="ar-SA"/>
              </w:rPr>
              <w:t xml:space="preserve">          </w:t>
            </w:r>
          </w:p>
          <w:p w:rsidR="00BA2743" w:rsidRPr="004464AC" w:rsidRDefault="00BA2743" w:rsidP="00196ECA">
            <w:pPr>
              <w:suppressAutoHyphens/>
              <w:ind w:left="-142" w:right="-143" w:firstLine="426"/>
              <w:rPr>
                <w:rFonts w:ascii="Calibri" w:eastAsia="Calibri" w:hAnsi="Calibri" w:cs="Calibri"/>
                <w:color w:val="808080"/>
                <w:sz w:val="17"/>
                <w:szCs w:val="17"/>
                <w:lang w:eastAsia="ar-SA"/>
              </w:rPr>
            </w:pPr>
            <w:r w:rsidRPr="004464AC">
              <w:rPr>
                <w:rFonts w:ascii="Calibri" w:eastAsia="Calibri" w:hAnsi="Calibri" w:cs="Calibri"/>
                <w:color w:val="808080"/>
                <w:sz w:val="17"/>
                <w:szCs w:val="17"/>
                <w:lang w:eastAsia="ar-SA"/>
              </w:rPr>
              <w:t xml:space="preserve">                                                                                          тел. 8-800-500-76-30, </w:t>
            </w:r>
            <w:hyperlink r:id="rId6" w:history="1">
              <w:r w:rsidRPr="004464AC">
                <w:rPr>
                  <w:rFonts w:ascii="Calibri" w:eastAsia="Calibri" w:hAnsi="Calibri" w:cs="Calibri"/>
                  <w:color w:val="0000FF"/>
                  <w:sz w:val="17"/>
                  <w:szCs w:val="17"/>
                  <w:u w:val="single"/>
                  <w:lang w:val="en-US" w:eastAsia="ar-SA"/>
                </w:rPr>
                <w:t>www</w:t>
              </w:r>
              <w:r w:rsidRPr="004464AC">
                <w:rPr>
                  <w:rFonts w:ascii="Calibri" w:eastAsia="Calibri" w:hAnsi="Calibri" w:cs="Calibri"/>
                  <w:color w:val="0000FF"/>
                  <w:sz w:val="17"/>
                  <w:szCs w:val="17"/>
                  <w:u w:val="single"/>
                  <w:lang w:eastAsia="ar-SA"/>
                </w:rPr>
                <w:t>.</w:t>
              </w:r>
              <w:r w:rsidRPr="004464AC">
                <w:rPr>
                  <w:rFonts w:ascii="Calibri" w:eastAsia="Calibri" w:hAnsi="Calibri" w:cs="Calibri"/>
                  <w:color w:val="0000FF"/>
                  <w:sz w:val="17"/>
                  <w:szCs w:val="17"/>
                  <w:u w:val="single"/>
                  <w:lang w:val="en-US" w:eastAsia="ar-SA"/>
                </w:rPr>
                <w:t>cett</w:t>
              </w:r>
              <w:r w:rsidRPr="004464AC">
                <w:rPr>
                  <w:rFonts w:ascii="Calibri" w:eastAsia="Calibri" w:hAnsi="Calibri" w:cs="Calibri"/>
                  <w:color w:val="0000FF"/>
                  <w:sz w:val="17"/>
                  <w:szCs w:val="17"/>
                  <w:u w:val="single"/>
                  <w:lang w:eastAsia="ar-SA"/>
                </w:rPr>
                <w:t>.</w:t>
              </w:r>
              <w:r w:rsidRPr="004464AC">
                <w:rPr>
                  <w:rFonts w:ascii="Calibri" w:eastAsia="Calibri" w:hAnsi="Calibri" w:cs="Calibri"/>
                  <w:color w:val="0000FF"/>
                  <w:sz w:val="17"/>
                  <w:szCs w:val="17"/>
                  <w:u w:val="single"/>
                  <w:lang w:val="en-US" w:eastAsia="ar-SA"/>
                </w:rPr>
                <w:t>biz</w:t>
              </w:r>
            </w:hyperlink>
            <w:r w:rsidRPr="004464AC">
              <w:rPr>
                <w:rFonts w:ascii="Calibri" w:eastAsia="Calibri" w:hAnsi="Calibri" w:cs="Calibri"/>
                <w:color w:val="808080"/>
                <w:sz w:val="17"/>
                <w:szCs w:val="17"/>
                <w:lang w:eastAsia="ar-SA"/>
              </w:rPr>
              <w:t xml:space="preserve">,  </w:t>
            </w:r>
            <w:r w:rsidRPr="004464AC">
              <w:rPr>
                <w:rFonts w:ascii="Calibri" w:eastAsia="Calibri" w:hAnsi="Calibri" w:cs="Calibri"/>
                <w:color w:val="808080"/>
                <w:sz w:val="17"/>
                <w:szCs w:val="17"/>
                <w:lang w:val="en-US" w:eastAsia="ar-SA"/>
              </w:rPr>
              <w:t>fcs</w:t>
            </w:r>
            <w:r w:rsidRPr="004464AC">
              <w:rPr>
                <w:rFonts w:ascii="Calibri" w:eastAsia="Calibri" w:hAnsi="Calibri" w:cs="Calibri"/>
                <w:color w:val="808080"/>
                <w:sz w:val="17"/>
                <w:szCs w:val="17"/>
                <w:lang w:eastAsia="ar-SA"/>
              </w:rPr>
              <w:t>@</w:t>
            </w:r>
            <w:r w:rsidRPr="004464AC">
              <w:rPr>
                <w:rFonts w:ascii="Calibri" w:eastAsia="Calibri" w:hAnsi="Calibri" w:cs="Calibri"/>
                <w:color w:val="808080"/>
                <w:sz w:val="17"/>
                <w:szCs w:val="17"/>
                <w:lang w:val="en-US" w:eastAsia="ar-SA"/>
              </w:rPr>
              <w:t>cett</w:t>
            </w:r>
            <w:r w:rsidRPr="004464AC">
              <w:rPr>
                <w:rFonts w:ascii="Calibri" w:eastAsia="Calibri" w:hAnsi="Calibri" w:cs="Calibri"/>
                <w:color w:val="808080"/>
                <w:sz w:val="17"/>
                <w:szCs w:val="17"/>
                <w:lang w:eastAsia="ar-SA"/>
              </w:rPr>
              <w:t>.</w:t>
            </w:r>
            <w:r w:rsidRPr="004464AC">
              <w:rPr>
                <w:rFonts w:ascii="Calibri" w:eastAsia="Calibri" w:hAnsi="Calibri" w:cs="Calibri"/>
                <w:color w:val="808080"/>
                <w:sz w:val="17"/>
                <w:szCs w:val="17"/>
                <w:lang w:val="en-US" w:eastAsia="ar-SA"/>
              </w:rPr>
              <w:t>biz</w:t>
            </w:r>
          </w:p>
        </w:tc>
      </w:tr>
    </w:tbl>
    <w:p w:rsidR="00BA2743" w:rsidRDefault="00BA2743" w:rsidP="00BA2743">
      <w:pPr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AFAFA"/>
        </w:rPr>
      </w:pPr>
    </w:p>
    <w:p w:rsidR="00187F0A" w:rsidRDefault="00187F0A" w:rsidP="00BA2743">
      <w:pPr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AFAFA"/>
        </w:rPr>
      </w:pPr>
    </w:p>
    <w:p w:rsidR="00BA2743" w:rsidRPr="00BA2743" w:rsidRDefault="00BA2743" w:rsidP="00BA274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BA2743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  </w:t>
      </w:r>
      <w:r w:rsidRPr="00BA2743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Учебный план программы</w:t>
      </w:r>
    </w:p>
    <w:p w:rsidR="003B28AD" w:rsidRPr="00BA2743" w:rsidRDefault="00BA2743" w:rsidP="003B28AD">
      <w:pPr>
        <w:pStyle w:val="a3"/>
        <w:shd w:val="clear" w:color="auto" w:fill="FFFFFF"/>
        <w:rPr>
          <w:b/>
        </w:rPr>
      </w:pPr>
      <w:r w:rsidRPr="00BA2743">
        <w:rPr>
          <w:b/>
        </w:rPr>
        <w:t>Профессиональная переподготовка "ЭКОНОМИКА, БЮДЖЕТИРОВАНИЕ, БУХГАЛТЕРСКИЙ (БЮДЖЕТНЫЙ) УЧЕТ И КОНТРОЛЬ" (260 час.)</w:t>
      </w:r>
    </w:p>
    <w:p w:rsidR="00BA2743" w:rsidRPr="00BA2743" w:rsidRDefault="00BA2743" w:rsidP="00BA2743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BA2743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(</w:t>
      </w:r>
      <w:r w:rsidR="0006432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О</w:t>
      </w:r>
      <w:r w:rsidRPr="00BA2743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бновлены </w:t>
      </w:r>
      <w:r w:rsidR="0006432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темы </w:t>
      </w:r>
      <w:r w:rsidR="00064321" w:rsidRPr="0006432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по</w:t>
      </w:r>
      <w:r w:rsidR="0006432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Учету) 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64321">
        <w:rPr>
          <w:rFonts w:ascii="Times New Roman" w:hAnsi="Times New Roman" w:cs="Times New Roman"/>
          <w:b/>
          <w:shd w:val="clear" w:color="auto" w:fill="FAFAFA"/>
        </w:rPr>
        <w:t xml:space="preserve">ЛЕКЦИЯ №1 </w:t>
      </w:r>
      <w:r w:rsidRPr="00064321">
        <w:rPr>
          <w:rFonts w:ascii="Times New Roman" w:hAnsi="Times New Roman" w:cs="Times New Roman"/>
          <w:b/>
        </w:rPr>
        <w:t>Орг</w:t>
      </w:r>
      <w:bookmarkStart w:id="0" w:name="_GoBack"/>
      <w:bookmarkEnd w:id="0"/>
      <w:r w:rsidRPr="00064321">
        <w:rPr>
          <w:rFonts w:ascii="Times New Roman" w:hAnsi="Times New Roman" w:cs="Times New Roman"/>
          <w:b/>
        </w:rPr>
        <w:t>анизация бухгалтерского учета в учреждениях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64321">
        <w:rPr>
          <w:rFonts w:ascii="Times New Roman" w:hAnsi="Times New Roman" w:cs="Times New Roman"/>
          <w:b/>
        </w:rPr>
        <w:t>государственного сектора экономики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Правовой статус организаций государственного сектора экономики.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Сравнительный анализ типов государственных (муниципальных)  учреждений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Основные положения, принципы ведения и нормативное регулирование бухгалтерского (бюджетного) учета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Структура номера счета бюджетного учета. Рабочий план счетов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 xml:space="preserve">- Требования к составлению и оформлению первичных (сводных) документов.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064321">
        <w:rPr>
          <w:rFonts w:ascii="Times New Roman" w:hAnsi="Times New Roman" w:cs="Times New Roman"/>
        </w:rPr>
        <w:t xml:space="preserve">    - Регистры бухгалтерского учета, их составление и  исправление ошибок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Учетная политика в государственных (муниципальных) учреждениях.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Суть нововведений при переходе на Федеральные стандарты бухгалтерского учета и новые положения учетной политики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  <w:r w:rsidRPr="00064321">
        <w:rPr>
          <w:rFonts w:ascii="Times New Roman" w:hAnsi="Times New Roman" w:cs="Times New Roman"/>
          <w:shd w:val="clear" w:color="auto" w:fill="FAFAFA"/>
        </w:rPr>
        <w:t>Промежуточный тест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  <w:r w:rsidRPr="00064321">
        <w:rPr>
          <w:rFonts w:ascii="Times New Roman" w:hAnsi="Times New Roman" w:cs="Times New Roman"/>
          <w:shd w:val="clear" w:color="auto" w:fill="FAFAFA"/>
        </w:rPr>
        <w:t>Задание 1 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  <w:r w:rsidRPr="00064321">
        <w:rPr>
          <w:rFonts w:ascii="Times New Roman" w:hAnsi="Times New Roman" w:cs="Times New Roman"/>
          <w:shd w:val="clear" w:color="auto" w:fill="FAFAFA"/>
        </w:rPr>
        <w:t>Задание 2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b/>
          <w:shd w:val="clear" w:color="auto" w:fill="FAFAFA"/>
        </w:rPr>
      </w:pPr>
      <w:r w:rsidRPr="00064321">
        <w:rPr>
          <w:rFonts w:ascii="Times New Roman" w:hAnsi="Times New Roman" w:cs="Times New Roman"/>
          <w:b/>
          <w:shd w:val="clear" w:color="auto" w:fill="FAFAFA"/>
        </w:rPr>
        <w:t>ЛЕКЦИЯ №2 Финансовое обеспечение деятельности бюджетных учреждений и санкционирование расходов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b/>
          <w:shd w:val="clear" w:color="auto" w:fill="FAFAFA"/>
        </w:rPr>
      </w:pP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Принципы и способы финансового обеспечения деятельности госучреждений различного типа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 xml:space="preserve">- Финансовое обеспечение деятельности органов государственной и муниципальной власти, </w:t>
      </w:r>
      <w:r>
        <w:rPr>
          <w:rFonts w:ascii="Times New Roman" w:hAnsi="Times New Roman" w:cs="Times New Roman"/>
        </w:rPr>
        <w:t xml:space="preserve">             </w:t>
      </w:r>
      <w:r w:rsidRPr="00064321">
        <w:rPr>
          <w:rFonts w:ascii="Times New Roman" w:hAnsi="Times New Roman" w:cs="Times New Roman"/>
        </w:rPr>
        <w:t xml:space="preserve">           а также государственных (муниципальных) казенных учреждений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Финансовое обеспечение деятельности бюджетных и автономных учреждений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Лицевые счета учреждений - участников бюджетного процесса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 xml:space="preserve">- Санкционирование расходов государственных (муниципальных) учреждений. 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Организация учета на счетах санкционирования расходов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Учет лимитов бюджетных обязательств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</w:rPr>
      </w:pPr>
      <w:r w:rsidRPr="00064321">
        <w:rPr>
          <w:rFonts w:ascii="Times New Roman" w:hAnsi="Times New Roman" w:cs="Times New Roman"/>
        </w:rPr>
        <w:t>- Учет бюджетных ассигнований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  <w:r w:rsidRPr="00064321">
        <w:rPr>
          <w:rFonts w:ascii="Times New Roman" w:hAnsi="Times New Roman" w:cs="Times New Roman"/>
          <w:shd w:val="clear" w:color="auto" w:fill="FAFAFA"/>
        </w:rPr>
        <w:t>Промежуточный тест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  <w:r w:rsidRPr="00064321">
        <w:rPr>
          <w:rFonts w:ascii="Times New Roman" w:hAnsi="Times New Roman" w:cs="Times New Roman"/>
          <w:shd w:val="clear" w:color="auto" w:fill="FAFAFA"/>
        </w:rPr>
        <w:t>Задание 1 </w:t>
      </w: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</w:p>
    <w:p w:rsidR="00064321" w:rsidRPr="00064321" w:rsidRDefault="00064321" w:rsidP="00064321">
      <w:pPr>
        <w:spacing w:line="240" w:lineRule="auto"/>
        <w:contextualSpacing/>
        <w:rPr>
          <w:rFonts w:ascii="Times New Roman" w:hAnsi="Times New Roman" w:cs="Times New Roman"/>
          <w:b/>
          <w:shd w:val="clear" w:color="auto" w:fill="FAFAFA"/>
        </w:rPr>
      </w:pPr>
      <w:r w:rsidRPr="00064321">
        <w:rPr>
          <w:rFonts w:ascii="Times New Roman" w:hAnsi="Times New Roman" w:cs="Times New Roman"/>
          <w:b/>
          <w:shd w:val="clear" w:color="auto" w:fill="FAFAFA"/>
        </w:rPr>
        <w:t>ЛЕКЦИЯ №3 Учет нефинансовых активов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Учет основных средств учреждений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Особенности начисления амортизации объектов основных средств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Учет вложений в объекты нефинансовых активов бюджетных учреждений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Учет вложений в основные средства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Учет нефинансовых активов в пути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Учет нематериальных активов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lastRenderedPageBreak/>
        <w:t>- Учет  непроизведенных активов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Учет материальных запасов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64321">
        <w:rPr>
          <w:sz w:val="22"/>
          <w:szCs w:val="22"/>
        </w:rPr>
        <w:t>Особенности  учета  реализации товаров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Промежуточный тест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Задание 1 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</w:p>
    <w:p w:rsidR="00064321" w:rsidRPr="00064321" w:rsidRDefault="00064321" w:rsidP="00064321">
      <w:pPr>
        <w:pStyle w:val="a3"/>
        <w:shd w:val="clear" w:color="auto" w:fill="FFFFFF"/>
        <w:contextualSpacing/>
        <w:rPr>
          <w:rStyle w:val="title"/>
          <w:b/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 </w:t>
      </w:r>
      <w:r w:rsidRPr="00064321">
        <w:rPr>
          <w:rStyle w:val="title"/>
          <w:b/>
          <w:sz w:val="22"/>
          <w:szCs w:val="22"/>
          <w:shd w:val="clear" w:color="auto" w:fill="FAFAFA"/>
        </w:rPr>
        <w:t>ЛЕКЦИЯ №4 Учет финансовых активов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rStyle w:val="title"/>
          <w:b/>
          <w:sz w:val="22"/>
          <w:szCs w:val="22"/>
          <w:shd w:val="clear" w:color="auto" w:fill="FAFAFA"/>
        </w:rPr>
      </w:pP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 - Денежные средства государственных (муниципальных) учреждений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 - Учет расчетов по доходам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 - Учет расчетов по выданным авансам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 -Учет расчетов с подотчетными лицами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 - Учет расчетов по ущербу и иным доходам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 - Учет прочих расчетов с дебиторами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 - Учет вложений в финансовые активы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 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b/>
          <w:sz w:val="22"/>
          <w:szCs w:val="22"/>
          <w:shd w:val="clear" w:color="auto" w:fill="FAFAFA"/>
        </w:rPr>
      </w:pPr>
      <w:r w:rsidRPr="00064321">
        <w:rPr>
          <w:b/>
          <w:sz w:val="22"/>
          <w:szCs w:val="22"/>
          <w:shd w:val="clear" w:color="auto" w:fill="FAFAFA"/>
        </w:rPr>
        <w:t>Лекция №4.1. Учет финансовых активов бюджетных (автономных) учреждений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b/>
          <w:sz w:val="22"/>
          <w:szCs w:val="22"/>
        </w:rPr>
      </w:pP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Денежные средства бюджетного (автономного) учреждения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Денежные средства в кассе бюджетного (автономного) учреждения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Финансовые вложения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Расчеты по доходам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- Расчеты с </w:t>
      </w:r>
      <w:proofErr w:type="spellStart"/>
      <w:r w:rsidRPr="00064321">
        <w:rPr>
          <w:sz w:val="22"/>
          <w:szCs w:val="22"/>
        </w:rPr>
        <w:t>подочетными</w:t>
      </w:r>
      <w:proofErr w:type="spellEnd"/>
      <w:r w:rsidRPr="00064321">
        <w:rPr>
          <w:sz w:val="22"/>
          <w:szCs w:val="22"/>
        </w:rPr>
        <w:t xml:space="preserve"> лицами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Расчеты по ущербу и иным доходам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Прочие расчеты с дебиторами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Промежуточный тест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Задание 1 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</w:p>
    <w:p w:rsidR="00064321" w:rsidRPr="00064321" w:rsidRDefault="00064321" w:rsidP="00064321">
      <w:pPr>
        <w:pStyle w:val="a3"/>
        <w:shd w:val="clear" w:color="auto" w:fill="FFFFFF"/>
        <w:contextualSpacing/>
        <w:rPr>
          <w:b/>
          <w:sz w:val="22"/>
          <w:szCs w:val="22"/>
          <w:shd w:val="clear" w:color="auto" w:fill="FAFAFA"/>
        </w:rPr>
      </w:pPr>
      <w:r w:rsidRPr="00064321">
        <w:rPr>
          <w:b/>
          <w:sz w:val="22"/>
          <w:szCs w:val="22"/>
          <w:shd w:val="clear" w:color="auto" w:fill="FAFAFA"/>
        </w:rPr>
        <w:t>ЛЕКЦИЯ №5 Учет расчетов по принятым обязательствам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b/>
          <w:sz w:val="22"/>
          <w:szCs w:val="22"/>
          <w:shd w:val="clear" w:color="auto" w:fill="FAFAFA"/>
        </w:rPr>
      </w:pP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 Учет расчетов по долговым обязательствам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 - Учет расчетов по принятым обязательствам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 Учет расчетов по платежам в бюджеты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 Учет обязательств перед прочими кредиторами</w:t>
      </w:r>
      <w:r w:rsidRPr="00064321">
        <w:rPr>
          <w:sz w:val="22"/>
          <w:szCs w:val="22"/>
        </w:rPr>
        <w:cr/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rStyle w:val="title"/>
          <w:b/>
          <w:sz w:val="22"/>
          <w:szCs w:val="22"/>
          <w:shd w:val="clear" w:color="auto" w:fill="FAFAFA"/>
        </w:rPr>
      </w:pPr>
      <w:r w:rsidRPr="00064321">
        <w:rPr>
          <w:rStyle w:val="title"/>
          <w:b/>
          <w:sz w:val="22"/>
          <w:szCs w:val="22"/>
          <w:shd w:val="clear" w:color="auto" w:fill="FAFAFA"/>
        </w:rPr>
        <w:t>ЛЕКЦЯ №5.1 Учет расчетов по обязательствам бюджетных и автономных учреждений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b/>
          <w:sz w:val="22"/>
          <w:szCs w:val="22"/>
        </w:rPr>
      </w:pP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 Учет расчетов по долговым обязательствам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 Учет расчетов по принятым обязательствам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 Учет расчетов по платежам в бюджеты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</w:rPr>
        <w:t>- Учет обязательств перед прочими кредиторами</w:t>
      </w:r>
      <w:r w:rsidRPr="00064321">
        <w:rPr>
          <w:sz w:val="22"/>
          <w:szCs w:val="22"/>
        </w:rPr>
        <w:cr/>
      </w:r>
      <w:r w:rsidRPr="00064321">
        <w:rPr>
          <w:sz w:val="22"/>
          <w:szCs w:val="22"/>
          <w:shd w:val="clear" w:color="auto" w:fill="FAFAFA"/>
        </w:rPr>
        <w:t>Промежуточный тест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Задание 1 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b/>
          <w:sz w:val="22"/>
          <w:szCs w:val="22"/>
          <w:shd w:val="clear" w:color="auto" w:fill="FAFAFA"/>
        </w:rPr>
      </w:pPr>
    </w:p>
    <w:p w:rsidR="00064321" w:rsidRPr="00064321" w:rsidRDefault="00064321" w:rsidP="00064321">
      <w:pPr>
        <w:pStyle w:val="a3"/>
        <w:shd w:val="clear" w:color="auto" w:fill="FFFFFF"/>
        <w:contextualSpacing/>
        <w:rPr>
          <w:b/>
          <w:sz w:val="22"/>
          <w:szCs w:val="22"/>
          <w:shd w:val="clear" w:color="auto" w:fill="FAFAFA"/>
        </w:rPr>
      </w:pPr>
      <w:r w:rsidRPr="00064321">
        <w:rPr>
          <w:b/>
          <w:sz w:val="22"/>
          <w:szCs w:val="22"/>
          <w:shd w:val="clear" w:color="auto" w:fill="FAFAFA"/>
        </w:rPr>
        <w:t>ЛЕКЦИЯ №6 Учет финансового результата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b/>
          <w:sz w:val="22"/>
          <w:szCs w:val="22"/>
          <w:shd w:val="clear" w:color="auto" w:fill="FAFAFA"/>
        </w:rPr>
      </w:pP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Операции по доходам и расходам и отражение их в учете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государственных (муниципальных) учреждений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Особенности признания и учета доходов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Особенности признания и учета расходов учреждения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Операции по заключению счетов текущего отчетного года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 Особенности формирования резервов предстоящих доходов и расходов будущих периодов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- Учет на </w:t>
      </w:r>
      <w:proofErr w:type="spellStart"/>
      <w:r w:rsidRPr="00064321">
        <w:rPr>
          <w:sz w:val="22"/>
          <w:szCs w:val="22"/>
        </w:rPr>
        <w:t>забалансовых</w:t>
      </w:r>
      <w:proofErr w:type="spellEnd"/>
      <w:r w:rsidRPr="00064321">
        <w:rPr>
          <w:sz w:val="22"/>
          <w:szCs w:val="22"/>
        </w:rPr>
        <w:t xml:space="preserve"> счетах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Промежуточный тест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Задание 1 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Итоговое тестирование</w:t>
      </w:r>
    </w:p>
    <w:p w:rsidR="00064321" w:rsidRPr="00BA2743" w:rsidRDefault="00064321" w:rsidP="00064321">
      <w:pPr>
        <w:pStyle w:val="a3"/>
        <w:shd w:val="clear" w:color="auto" w:fill="FFFFFF"/>
        <w:contextualSpacing/>
        <w:rPr>
          <w:shd w:val="clear" w:color="auto" w:fill="FAFAFA"/>
        </w:rPr>
      </w:pPr>
    </w:p>
    <w:p w:rsidR="00F2763F" w:rsidRPr="00064321" w:rsidRDefault="00F2763F" w:rsidP="00064321">
      <w:pPr>
        <w:pStyle w:val="a3"/>
        <w:shd w:val="clear" w:color="auto" w:fill="FFFFFF"/>
        <w:contextualSpacing/>
        <w:rPr>
          <w:b/>
          <w:sz w:val="22"/>
          <w:szCs w:val="22"/>
          <w:shd w:val="clear" w:color="auto" w:fill="FAFAFA"/>
        </w:rPr>
      </w:pPr>
      <w:r w:rsidRPr="00064321">
        <w:rPr>
          <w:b/>
          <w:sz w:val="22"/>
          <w:szCs w:val="22"/>
          <w:shd w:val="clear" w:color="auto" w:fill="FAFAFA"/>
        </w:rPr>
        <w:t>ЛЕКЦИЯ №7 Порядок составления и представления бухгалтерской (финансовой) отчетности</w:t>
      </w:r>
    </w:p>
    <w:p w:rsid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</w:t>
      </w:r>
      <w:r w:rsidRPr="00064321">
        <w:rPr>
          <w:sz w:val="22"/>
          <w:szCs w:val="22"/>
        </w:rPr>
        <w:t xml:space="preserve"> Общие положения составления и представления отчетности. </w:t>
      </w:r>
    </w:p>
    <w:p w:rsidR="00F2763F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F2763F" w:rsidRPr="00064321">
        <w:rPr>
          <w:sz w:val="22"/>
          <w:szCs w:val="22"/>
        </w:rPr>
        <w:t>Субъекты</w:t>
      </w:r>
      <w:r>
        <w:rPr>
          <w:sz w:val="22"/>
          <w:szCs w:val="22"/>
        </w:rPr>
        <w:t xml:space="preserve"> </w:t>
      </w:r>
      <w:r w:rsidR="00F2763F" w:rsidRPr="00064321">
        <w:rPr>
          <w:sz w:val="22"/>
          <w:szCs w:val="22"/>
        </w:rPr>
        <w:t>бухгал</w:t>
      </w:r>
      <w:r>
        <w:rPr>
          <w:sz w:val="22"/>
          <w:szCs w:val="22"/>
        </w:rPr>
        <w:t>терской (финансовой отчетности)</w:t>
      </w:r>
    </w:p>
    <w:p w:rsidR="00F2763F" w:rsidRP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</w:t>
      </w:r>
      <w:r w:rsidRPr="00064321">
        <w:rPr>
          <w:sz w:val="22"/>
          <w:szCs w:val="22"/>
        </w:rPr>
        <w:t xml:space="preserve"> Правила форм</w:t>
      </w:r>
      <w:r w:rsidR="00064321">
        <w:rPr>
          <w:sz w:val="22"/>
          <w:szCs w:val="22"/>
        </w:rPr>
        <w:t>ирование показателей отчетности</w:t>
      </w:r>
    </w:p>
    <w:p w:rsidR="00F2763F" w:rsidRP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</w:t>
      </w:r>
      <w:r w:rsidRPr="00064321">
        <w:rPr>
          <w:sz w:val="22"/>
          <w:szCs w:val="22"/>
        </w:rPr>
        <w:t xml:space="preserve"> Подготовка бюджетной отчетности казенного учреждения и ее состав.</w:t>
      </w:r>
    </w:p>
    <w:p w:rsidR="00F2763F" w:rsidRPr="00064321" w:rsidRDefault="00BA2743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 xml:space="preserve">- </w:t>
      </w:r>
      <w:r w:rsidR="00F2763F" w:rsidRPr="00064321">
        <w:rPr>
          <w:sz w:val="22"/>
          <w:szCs w:val="22"/>
        </w:rPr>
        <w:t>Порядок составления и представления.</w:t>
      </w:r>
    </w:p>
    <w:p w:rsidR="00F2763F" w:rsidRP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</w:t>
      </w:r>
      <w:r w:rsidRPr="00064321">
        <w:rPr>
          <w:sz w:val="22"/>
          <w:szCs w:val="22"/>
        </w:rPr>
        <w:t xml:space="preserve"> Подготовка и состав бухгалтерской (финансовой) отчетности</w:t>
      </w:r>
    </w:p>
    <w:p w:rsidR="00F2763F" w:rsidRP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бюджетного (автономного) учреждения. Порядок и представления.</w:t>
      </w:r>
    </w:p>
    <w:p w:rsidR="00F2763F" w:rsidRP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  <w:r w:rsidRPr="00064321">
        <w:rPr>
          <w:sz w:val="22"/>
          <w:szCs w:val="22"/>
          <w:shd w:val="clear" w:color="auto" w:fill="FAFAFA"/>
        </w:rPr>
        <w:t>Тест </w:t>
      </w:r>
    </w:p>
    <w:p w:rsidR="00064321" w:rsidRPr="00064321" w:rsidRDefault="00064321" w:rsidP="00064321">
      <w:pPr>
        <w:pStyle w:val="a3"/>
        <w:shd w:val="clear" w:color="auto" w:fill="FFFFFF"/>
        <w:contextualSpacing/>
        <w:rPr>
          <w:sz w:val="22"/>
          <w:szCs w:val="22"/>
          <w:shd w:val="clear" w:color="auto" w:fill="FAFAFA"/>
        </w:rPr>
      </w:pPr>
    </w:p>
    <w:p w:rsidR="00F2763F" w:rsidRPr="00064321" w:rsidRDefault="00F2763F" w:rsidP="00064321">
      <w:pPr>
        <w:pStyle w:val="a3"/>
        <w:shd w:val="clear" w:color="auto" w:fill="FFFFFF"/>
        <w:contextualSpacing/>
        <w:rPr>
          <w:b/>
          <w:sz w:val="22"/>
          <w:szCs w:val="22"/>
          <w:shd w:val="clear" w:color="auto" w:fill="FAFAFA"/>
        </w:rPr>
      </w:pPr>
      <w:r w:rsidRPr="00064321">
        <w:rPr>
          <w:b/>
          <w:sz w:val="22"/>
          <w:szCs w:val="22"/>
          <w:shd w:val="clear" w:color="auto" w:fill="FAFAFA"/>
        </w:rPr>
        <w:t>ЛЕКЦИЯ №8 Финансовый контроль в государственном секторе экономики</w:t>
      </w:r>
    </w:p>
    <w:p w:rsidR="00F2763F" w:rsidRP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</w:t>
      </w:r>
      <w:r w:rsidRPr="00064321">
        <w:rPr>
          <w:sz w:val="22"/>
          <w:szCs w:val="22"/>
        </w:rPr>
        <w:t xml:space="preserve"> Виды, объекты, методы финансового контроля, нормативное</w:t>
      </w:r>
      <w:r w:rsidR="00064321">
        <w:rPr>
          <w:sz w:val="22"/>
          <w:szCs w:val="22"/>
        </w:rPr>
        <w:t xml:space="preserve"> </w:t>
      </w:r>
      <w:r w:rsidRPr="00064321">
        <w:rPr>
          <w:sz w:val="22"/>
          <w:szCs w:val="22"/>
        </w:rPr>
        <w:t>регулирование.</w:t>
      </w:r>
    </w:p>
    <w:p w:rsidR="00F2763F" w:rsidRP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</w:t>
      </w:r>
      <w:r w:rsidRPr="00064321">
        <w:rPr>
          <w:sz w:val="22"/>
          <w:szCs w:val="22"/>
        </w:rPr>
        <w:t xml:space="preserve"> Бюджетные правонарушения и ответственность</w:t>
      </w:r>
    </w:p>
    <w:p w:rsidR="00F2763F" w:rsidRP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</w:t>
      </w:r>
      <w:r w:rsidRPr="00064321">
        <w:rPr>
          <w:sz w:val="22"/>
          <w:szCs w:val="22"/>
        </w:rPr>
        <w:t xml:space="preserve"> Организация внутреннего контроля в учреждении</w:t>
      </w:r>
    </w:p>
    <w:p w:rsidR="00F2763F" w:rsidRPr="00064321" w:rsidRDefault="00F2763F" w:rsidP="00064321">
      <w:pPr>
        <w:pStyle w:val="a3"/>
        <w:shd w:val="clear" w:color="auto" w:fill="FFFFFF"/>
        <w:contextualSpacing/>
        <w:rPr>
          <w:sz w:val="22"/>
          <w:szCs w:val="22"/>
        </w:rPr>
      </w:pPr>
      <w:r w:rsidRPr="00064321">
        <w:rPr>
          <w:sz w:val="22"/>
          <w:szCs w:val="22"/>
        </w:rPr>
        <w:t>-</w:t>
      </w:r>
      <w:r w:rsidRPr="00064321">
        <w:rPr>
          <w:sz w:val="22"/>
          <w:szCs w:val="22"/>
        </w:rPr>
        <w:t xml:space="preserve"> Организация инвентаризации в учреждении.</w:t>
      </w:r>
    </w:p>
    <w:p w:rsidR="00F2763F" w:rsidRPr="00064321" w:rsidRDefault="00F2763F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  <w:r w:rsidRPr="00064321">
        <w:rPr>
          <w:rFonts w:ascii="Times New Roman" w:hAnsi="Times New Roman" w:cs="Times New Roman"/>
          <w:shd w:val="clear" w:color="auto" w:fill="FAFAFA"/>
        </w:rPr>
        <w:t>Промежуточный тест</w:t>
      </w:r>
    </w:p>
    <w:p w:rsidR="00F2763F" w:rsidRPr="00064321" w:rsidRDefault="00F2763F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  <w:r w:rsidRPr="00064321">
        <w:rPr>
          <w:rFonts w:ascii="Times New Roman" w:hAnsi="Times New Roman" w:cs="Times New Roman"/>
          <w:shd w:val="clear" w:color="auto" w:fill="FAFAFA"/>
        </w:rPr>
        <w:t>Задание 1 </w:t>
      </w:r>
    </w:p>
    <w:p w:rsidR="00F2763F" w:rsidRPr="00064321" w:rsidRDefault="00F2763F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  <w:r w:rsidRPr="00064321">
        <w:rPr>
          <w:rFonts w:ascii="Times New Roman" w:hAnsi="Times New Roman" w:cs="Times New Roman"/>
          <w:shd w:val="clear" w:color="auto" w:fill="FAFAFA"/>
        </w:rPr>
        <w:t>Задание 2</w:t>
      </w:r>
    </w:p>
    <w:p w:rsidR="00F2763F" w:rsidRPr="00064321" w:rsidRDefault="00F2763F" w:rsidP="00064321">
      <w:pPr>
        <w:spacing w:line="240" w:lineRule="auto"/>
        <w:contextualSpacing/>
        <w:rPr>
          <w:rFonts w:ascii="Times New Roman" w:hAnsi="Times New Roman" w:cs="Times New Roman"/>
          <w:shd w:val="clear" w:color="auto" w:fill="FAFAFA"/>
        </w:rPr>
      </w:pPr>
      <w:r w:rsidRPr="00064321">
        <w:rPr>
          <w:rFonts w:ascii="Times New Roman" w:hAnsi="Times New Roman" w:cs="Times New Roman"/>
          <w:shd w:val="clear" w:color="auto" w:fill="FAFAFA"/>
        </w:rPr>
        <w:t>Итоговая аттестация</w:t>
      </w:r>
    </w:p>
    <w:p w:rsidR="00F2763F" w:rsidRPr="00064321" w:rsidRDefault="00F2763F" w:rsidP="00F2763F">
      <w:pPr>
        <w:pStyle w:val="a3"/>
        <w:shd w:val="clear" w:color="auto" w:fill="FFFFFF"/>
        <w:rPr>
          <w:sz w:val="22"/>
          <w:szCs w:val="22"/>
        </w:rPr>
      </w:pPr>
    </w:p>
    <w:sectPr w:rsidR="00F2763F" w:rsidRPr="00064321" w:rsidSect="0006432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A6"/>
    <w:rsid w:val="00064321"/>
    <w:rsid w:val="00187F0A"/>
    <w:rsid w:val="003B28AD"/>
    <w:rsid w:val="005C46A6"/>
    <w:rsid w:val="00BA2743"/>
    <w:rsid w:val="00C22232"/>
    <w:rsid w:val="00D576FF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5C46A6"/>
  </w:style>
  <w:style w:type="character" w:customStyle="1" w:styleId="10">
    <w:name w:val="Заголовок 1 Знак"/>
    <w:basedOn w:val="a0"/>
    <w:link w:val="1"/>
    <w:uiPriority w:val="9"/>
    <w:rsid w:val="003B2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5C46A6"/>
  </w:style>
  <w:style w:type="character" w:customStyle="1" w:styleId="10">
    <w:name w:val="Заголовок 1 Знак"/>
    <w:basedOn w:val="a0"/>
    <w:link w:val="1"/>
    <w:uiPriority w:val="9"/>
    <w:rsid w:val="003B2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tt.bi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2</cp:revision>
  <cp:lastPrinted>2019-10-30T13:35:00Z</cp:lastPrinted>
  <dcterms:created xsi:type="dcterms:W3CDTF">2019-10-30T12:39:00Z</dcterms:created>
  <dcterms:modified xsi:type="dcterms:W3CDTF">2019-10-30T13:36:00Z</dcterms:modified>
</cp:coreProperties>
</file>