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BA2D38">
        <w:rPr>
          <w:rFonts w:ascii="Times New Roman" w:eastAsia="Roboto" w:hAnsi="Times New Roman" w:cs="Times New Roman"/>
          <w:b/>
          <w:color w:val="004CB2"/>
          <w:sz w:val="45"/>
          <w:szCs w:val="45"/>
        </w:rPr>
        <w:t>Повышение квалификации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BA2D38">
        <w:rPr>
          <w:rFonts w:ascii="Times New Roman" w:eastAsia="Roboto" w:hAnsi="Times New Roman" w:cs="Times New Roman"/>
          <w:b/>
          <w:color w:val="004CB2"/>
          <w:sz w:val="45"/>
          <w:szCs w:val="45"/>
        </w:rPr>
        <w:t>«Поставщик 44-ФЗ»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BA2D38">
        <w:rPr>
          <w:rFonts w:ascii="Times New Roman" w:eastAsia="Roboto" w:hAnsi="Times New Roman" w:cs="Times New Roman"/>
          <w:sz w:val="27"/>
          <w:szCs w:val="27"/>
        </w:rPr>
        <w:t xml:space="preserve">«УЧАСТИЕ В ГОСУДАРСТВЕННЫХ И МУНИЦИПАЛЬНЫХ ЗАКУПКАХ (курс поставщика)» 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BA2D38">
        <w:rPr>
          <w:rFonts w:ascii="Times New Roman" w:eastAsia="Roboto" w:hAnsi="Times New Roman" w:cs="Times New Roman"/>
          <w:sz w:val="27"/>
          <w:szCs w:val="27"/>
        </w:rPr>
        <w:t xml:space="preserve"> 120 часов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BA2D38">
        <w:rPr>
          <w:rFonts w:ascii="Times New Roman" w:eastAsia="Roboto" w:hAnsi="Times New Roman" w:cs="Times New Roman"/>
          <w:color w:val="004FB4"/>
          <w:sz w:val="27"/>
          <w:szCs w:val="27"/>
        </w:rPr>
        <w:t>Для кого курс?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консультант по закупкам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специалист по тендерам (работа у поставщика)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BA2D38">
        <w:rPr>
          <w:rFonts w:ascii="Times New Roman" w:eastAsia="Roboto" w:hAnsi="Times New Roman" w:cs="Times New Roman"/>
          <w:color w:val="004FB4"/>
          <w:sz w:val="27"/>
          <w:szCs w:val="27"/>
        </w:rPr>
        <w:t>Вы получите: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сформированный методический материал в виде видео-</w:t>
      </w:r>
      <w:proofErr w:type="spellStart"/>
      <w:r w:rsidRPr="00BA2D38">
        <w:rPr>
          <w:rFonts w:ascii="Times New Roman" w:eastAsia="Roboto" w:hAnsi="Times New Roman" w:cs="Times New Roman"/>
          <w:sz w:val="21"/>
          <w:szCs w:val="21"/>
        </w:rPr>
        <w:t>аудиолекций</w:t>
      </w:r>
      <w:proofErr w:type="spellEnd"/>
      <w:r w:rsidRPr="00BA2D38">
        <w:rPr>
          <w:rFonts w:ascii="Times New Roman" w:eastAsia="Roboto" w:hAnsi="Times New Roman" w:cs="Times New Roman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удостоверение о повышении квалификации  в соответствии с требованиями  законодательства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BA2D38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color w:val="004FB4"/>
          <w:sz w:val="27"/>
          <w:szCs w:val="27"/>
        </w:rPr>
        <w:t>Темы курса:</w:t>
      </w: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1 «Основы контрактной системы (КС)»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2 «Электронный документооборот. Электронная подпись.»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3 «Законодательство Российской Федерации o контрактной системе в сфере закупок»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4 «Планирование и обоснование закупок»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Планирование и обоснование закупок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2 практических заданий к разделу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5 «Осуществление закупок»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закупки.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Правила описания объекта закупки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Порядок проведения конкурсов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Конкурсы в электронной форме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путем проведения аукциона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• Подготовка заявок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• </w:t>
      </w:r>
      <w:r w:rsidRPr="00BA2D38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Нормирование в сфере закупок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Определение и обоснование НМЦК.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10 практических заданий к разделу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6 «Обеспечительные меры в закупках. Обеспечение заявок на участие в закупке и исполнения контракта»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Банковская гарантия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4F7E06" w:rsidRPr="00BA2D38" w:rsidRDefault="00BA2D38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9"/>
          <w:id w:val="-469357577"/>
        </w:sdtPr>
        <w:sdtEndPr/>
        <w:sdtContent>
          <w:r w:rsidR="004F7E06" w:rsidRPr="00BA2D38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7 «Отличительные особенности закупок в соответствии с Федеральным законом №223-ФЗ от 18.07.2011 г.»</w:t>
          </w:r>
        </w:sdtContent>
      </w:sdt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8 «Контракты. Особенности исполнения контракта»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Порядок заключения, исполнения, изменения и расторжения контрактов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proofErr w:type="spellStart"/>
      <w:r w:rsidRPr="00BA2D38">
        <w:rPr>
          <w:rFonts w:ascii="Times New Roman" w:eastAsia="Roboto" w:hAnsi="Times New Roman" w:cs="Times New Roman"/>
          <w:sz w:val="21"/>
          <w:szCs w:val="21"/>
        </w:rPr>
        <w:t>Энергосервисные</w:t>
      </w:r>
      <w:proofErr w:type="spellEnd"/>
      <w:r w:rsidRPr="00BA2D38">
        <w:rPr>
          <w:rFonts w:ascii="Times New Roman" w:eastAsia="Roboto" w:hAnsi="Times New Roman" w:cs="Times New Roman"/>
          <w:sz w:val="21"/>
          <w:szCs w:val="21"/>
        </w:rPr>
        <w:t xml:space="preserve"> контракты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Защита интересов участника закупки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Раздел 7 «Экономические основы ценообразования»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BA2D38">
        <w:rPr>
          <w:rFonts w:ascii="Times New Roman" w:eastAsia="Roboto" w:hAnsi="Times New Roman" w:cs="Times New Roman"/>
          <w:color w:val="004FB4"/>
          <w:sz w:val="27"/>
          <w:szCs w:val="27"/>
        </w:rPr>
        <w:t>Что дает курс?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понимание, как работает контрактная система в сфере закупок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полный набор знаний для участия и победы в торгах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умение найти выгодный заказ, подготовить и подать заявку, выиграть и заключить контракт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> 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BA2D38">
        <w:rPr>
          <w:rFonts w:ascii="Times New Roman" w:eastAsia="Roboto" w:hAnsi="Times New Roman" w:cs="Times New Roman"/>
          <w:color w:val="004FB4"/>
          <w:sz w:val="27"/>
          <w:szCs w:val="27"/>
        </w:rPr>
        <w:t>Получаете документ: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b/>
          <w:sz w:val="21"/>
          <w:szCs w:val="21"/>
        </w:rPr>
        <w:t>удостоверение о повышении квалификации</w:t>
      </w: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  в соответствии с требованиями  законодательства по образовательной программе «УЧАСТИЕ В ГОСУДАРСТВЕННЫХ И МУНИЦИПАЛЬНЫХ ЗАКУПКАХ (курс поставщика)».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BA2D38">
        <w:rPr>
          <w:rFonts w:ascii="Times New Roman" w:eastAsia="Roboto" w:hAnsi="Times New Roman" w:cs="Times New Roman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4F7E06" w:rsidRPr="00BA2D38" w:rsidRDefault="004F7E06" w:rsidP="004F7E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5B05E9" w:rsidRPr="00BA2D38" w:rsidRDefault="005B05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05E9" w:rsidRPr="00BA2D38" w:rsidSect="004F7E0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06"/>
    <w:rsid w:val="004F7E06"/>
    <w:rsid w:val="005B05E9"/>
    <w:rsid w:val="00B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0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3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0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2</cp:revision>
  <dcterms:created xsi:type="dcterms:W3CDTF">2019-10-22T11:14:00Z</dcterms:created>
  <dcterms:modified xsi:type="dcterms:W3CDTF">2019-10-22T16:32:00Z</dcterms:modified>
</cp:coreProperties>
</file>