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9F5C37" w:rsidRPr="004464AC" w:rsidTr="00196ECA">
        <w:trPr>
          <w:trHeight w:val="1535"/>
        </w:trPr>
        <w:tc>
          <w:tcPr>
            <w:tcW w:w="993" w:type="dxa"/>
          </w:tcPr>
          <w:p w:rsidR="009F5C37" w:rsidRPr="004464AC" w:rsidRDefault="009F5C37" w:rsidP="00196ECA">
            <w:pPr>
              <w:snapToGrid w:val="0"/>
              <w:spacing w:after="280"/>
              <w:ind w:left="-142" w:right="-143" w:firstLine="426"/>
              <w:rPr>
                <w:b/>
                <w:bCs/>
                <w:i/>
                <w:iCs/>
                <w:sz w:val="32"/>
                <w:szCs w:val="27"/>
                <w:u w:val="single"/>
              </w:rPr>
            </w:pPr>
            <w:r w:rsidRPr="004464AC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9C705" wp14:editId="18C50D6B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143510</wp:posOffset>
                  </wp:positionV>
                  <wp:extent cx="1588770" cy="65659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">
      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70" cy="65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vAlign w:val="center"/>
          </w:tcPr>
          <w:p w:rsidR="009F5C37" w:rsidRPr="004464AC" w:rsidRDefault="009F5C37" w:rsidP="00196ECA">
            <w:pPr>
              <w:suppressAutoHyphens/>
              <w:snapToGrid w:val="0"/>
              <w:ind w:left="-390" w:right="-143"/>
              <w:rPr>
                <w:rFonts w:ascii="Calibri" w:eastAsia="Calibri" w:hAnsi="Calibri" w:cs="Calibri"/>
                <w:b/>
                <w:sz w:val="36"/>
                <w:szCs w:val="36"/>
                <w:lang w:eastAsia="ar-SA"/>
              </w:rPr>
            </w:pPr>
            <w:r w:rsidRPr="004464AC">
              <w:rPr>
                <w:rFonts w:ascii="Calibri" w:eastAsia="Calibri" w:hAnsi="Calibri" w:cs="Calibri"/>
                <w:b/>
                <w:sz w:val="38"/>
                <w:szCs w:val="38"/>
                <w:lang w:eastAsia="ar-SA"/>
              </w:rPr>
              <w:t xml:space="preserve">                            </w:t>
            </w:r>
            <w:r w:rsidRPr="004464AC">
              <w:rPr>
                <w:rFonts w:ascii="Calibri" w:eastAsia="Calibri" w:hAnsi="Calibri" w:cs="Calibri"/>
                <w:b/>
                <w:sz w:val="36"/>
                <w:szCs w:val="36"/>
                <w:lang w:eastAsia="ar-SA"/>
              </w:rPr>
              <w:t>Центр Электронных Торговых Технологий</w:t>
            </w:r>
          </w:p>
          <w:p w:rsidR="009F5C37" w:rsidRPr="004464AC" w:rsidRDefault="009F5C37" w:rsidP="00196ECA">
            <w:pPr>
              <w:suppressAutoHyphens/>
              <w:ind w:right="-437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4464AC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 xml:space="preserve">                               </w:t>
            </w:r>
            <w:r w:rsidRPr="004464AC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548DD4"/>
                <w:lang w:eastAsia="ar-SA"/>
              </w:rPr>
              <w:t xml:space="preserve">   </w:t>
            </w:r>
            <w:r w:rsidRPr="004A3760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shd w:val="clear" w:color="auto" w:fill="548DD4"/>
                <w:lang w:eastAsia="ar-SA"/>
              </w:rPr>
              <w:t>Межрегиональный учебно-консультационный центр  «</w:t>
            </w:r>
            <w:proofErr w:type="spellStart"/>
            <w:r w:rsidRPr="004A3760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shd w:val="clear" w:color="auto" w:fill="548DD4"/>
                <w:lang w:eastAsia="ar-SA"/>
              </w:rPr>
              <w:t>Госзакупки</w:t>
            </w:r>
            <w:proofErr w:type="spellEnd"/>
            <w:r w:rsidRPr="004A3760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shd w:val="clear" w:color="auto" w:fill="548DD4"/>
                <w:lang w:eastAsia="ar-SA"/>
              </w:rPr>
              <w:t>»</w:t>
            </w:r>
            <w:proofErr w:type="gramStart"/>
            <w:r w:rsidRPr="004A3760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shd w:val="clear" w:color="auto" w:fill="548DD4"/>
                <w:lang w:eastAsia="ar-SA"/>
              </w:rPr>
              <w:t xml:space="preserve">  </w:t>
            </w:r>
            <w:r w:rsidRPr="004464AC">
              <w:rPr>
                <w:rFonts w:ascii="Calibri" w:eastAsia="Calibri" w:hAnsi="Calibri" w:cs="Calibri"/>
                <w:b/>
                <w:color w:val="F2F2F2"/>
                <w:sz w:val="24"/>
                <w:szCs w:val="24"/>
                <w:shd w:val="clear" w:color="auto" w:fill="548DD4"/>
                <w:lang w:eastAsia="ar-SA"/>
              </w:rPr>
              <w:t>.</w:t>
            </w:r>
            <w:proofErr w:type="gramEnd"/>
            <w:r w:rsidRPr="004464AC">
              <w:rPr>
                <w:rFonts w:ascii="Calibri" w:eastAsia="Calibri" w:hAnsi="Calibri" w:cs="Calibri"/>
                <w:b/>
                <w:color w:val="F2F2F2"/>
                <w:sz w:val="24"/>
                <w:szCs w:val="24"/>
                <w:shd w:val="clear" w:color="auto" w:fill="548DD4"/>
                <w:lang w:eastAsia="ar-SA"/>
              </w:rPr>
              <w:t xml:space="preserve">          </w:t>
            </w:r>
          </w:p>
          <w:p w:rsidR="009F5C37" w:rsidRPr="004464AC" w:rsidRDefault="009F5C37" w:rsidP="00196ECA">
            <w:pPr>
              <w:suppressAutoHyphens/>
              <w:ind w:left="-142" w:right="-143" w:firstLine="426"/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</w:pP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  <w:t xml:space="preserve">                                                                                          тел. 8-800-500-76-30, </w:t>
            </w:r>
            <w:hyperlink r:id="rId6" w:history="1"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val="en-US" w:eastAsia="ar-SA"/>
                </w:rPr>
                <w:t>www</w:t>
              </w:r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eastAsia="ar-SA"/>
                </w:rPr>
                <w:t>.</w:t>
              </w:r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val="en-US" w:eastAsia="ar-SA"/>
                </w:rPr>
                <w:t>cett</w:t>
              </w:r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eastAsia="ar-SA"/>
                </w:rPr>
                <w:t>.</w:t>
              </w:r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val="en-US" w:eastAsia="ar-SA"/>
                </w:rPr>
                <w:t>biz</w:t>
              </w:r>
            </w:hyperlink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  <w:t xml:space="preserve">,  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val="en-US" w:eastAsia="ar-SA"/>
              </w:rPr>
              <w:t>fcs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  <w:t>@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val="en-US" w:eastAsia="ar-SA"/>
              </w:rPr>
              <w:t>cett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  <w:t>.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val="en-US" w:eastAsia="ar-SA"/>
              </w:rPr>
              <w:t>biz</w:t>
            </w:r>
          </w:p>
        </w:tc>
      </w:tr>
    </w:tbl>
    <w:p w:rsidR="009F5C37" w:rsidRDefault="009F5C37" w:rsidP="009F5C3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</w:p>
    <w:p w:rsidR="009F5C37" w:rsidRPr="00BA2743" w:rsidRDefault="009F5C37" w:rsidP="009F5C3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BA274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Учебный план программы</w:t>
      </w:r>
    </w:p>
    <w:p w:rsidR="009F5C37" w:rsidRPr="00BA2743" w:rsidRDefault="009F5C37" w:rsidP="009F5C3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BA274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Повышение квалификации "БУХГАЛТЕРСКИЙ УЧЕТ В ОРГАНИЗАЦИЯХ ГОСУДАРСТВЕННОГО СЕКТОРА" (120 час.)</w:t>
      </w:r>
    </w:p>
    <w:p w:rsidR="009F5C37" w:rsidRPr="00064321" w:rsidRDefault="009F5C37" w:rsidP="009F5C37">
      <w:pPr>
        <w:rPr>
          <w:rFonts w:ascii="Times New Roman" w:hAnsi="Times New Roman" w:cs="Times New Roman"/>
          <w:b/>
          <w:shd w:val="clear" w:color="auto" w:fill="FAFAFA"/>
        </w:rPr>
      </w:pPr>
      <w:r w:rsidRPr="00064321">
        <w:rPr>
          <w:rFonts w:ascii="Times New Roman" w:hAnsi="Times New Roman" w:cs="Times New Roman"/>
          <w:b/>
          <w:shd w:val="clear" w:color="auto" w:fill="FAFAFA"/>
        </w:rPr>
        <w:t>(Полностью обновленный курс)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64321">
        <w:rPr>
          <w:rFonts w:ascii="Times New Roman" w:hAnsi="Times New Roman" w:cs="Times New Roman"/>
          <w:b/>
          <w:shd w:val="clear" w:color="auto" w:fill="FAFAFA"/>
        </w:rPr>
        <w:t xml:space="preserve">ЛЕКЦИЯ №1 </w:t>
      </w:r>
      <w:r w:rsidRPr="00064321">
        <w:rPr>
          <w:rFonts w:ascii="Times New Roman" w:hAnsi="Times New Roman" w:cs="Times New Roman"/>
          <w:b/>
        </w:rPr>
        <w:t>Организация бухгалтерского учета в учреждениях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64321">
        <w:rPr>
          <w:rFonts w:ascii="Times New Roman" w:hAnsi="Times New Roman" w:cs="Times New Roman"/>
          <w:b/>
        </w:rPr>
        <w:t>государственного сектора экономики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Правовой статус организаций государственного сектора экономики.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Сравнительный анализ типов государственных (муниципальных)  учреждений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Основные положения, принципы ведения и нормативное регулирование бухгалтерского (бюджетного) учета</w:t>
      </w:r>
      <w:bookmarkStart w:id="0" w:name="_GoBack"/>
      <w:bookmarkEnd w:id="0"/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Структура номера счета бюджетного учета. Рабочий план счетов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 xml:space="preserve">- Требования к составлению и оформлению первичных (сводных) документов.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064321">
        <w:rPr>
          <w:rFonts w:ascii="Times New Roman" w:hAnsi="Times New Roman" w:cs="Times New Roman"/>
        </w:rPr>
        <w:t xml:space="preserve">    - Регистры бухгалтерского учета, их составление и  исправление ошибок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Учетная политика в государственных (муниципальных) учреждениях.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Суть нововведений при переходе на Федеральные стандарты бухгалтерского учета и новые положения учетной политики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Промежуточный тест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Задание 1 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Задание 2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  <w:b/>
          <w:shd w:val="clear" w:color="auto" w:fill="FAFAFA"/>
        </w:rPr>
      </w:pPr>
      <w:r w:rsidRPr="00064321">
        <w:rPr>
          <w:rFonts w:ascii="Times New Roman" w:hAnsi="Times New Roman" w:cs="Times New Roman"/>
          <w:b/>
          <w:shd w:val="clear" w:color="auto" w:fill="FAFAFA"/>
        </w:rPr>
        <w:t>ЛЕКЦИЯ №2 Финансовое обеспечение деятельности бюджетных учреждений и санкционирование расходов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  <w:b/>
          <w:shd w:val="clear" w:color="auto" w:fill="FAFAFA"/>
        </w:rPr>
      </w:pP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Принципы и способы финансового обеспечения деятельности госучреждений различного типа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 xml:space="preserve">- Финансовое обеспечение деятельности органов государственной и муниципальной власти, </w:t>
      </w:r>
      <w:r>
        <w:rPr>
          <w:rFonts w:ascii="Times New Roman" w:hAnsi="Times New Roman" w:cs="Times New Roman"/>
        </w:rPr>
        <w:t xml:space="preserve">             </w:t>
      </w:r>
      <w:r w:rsidRPr="00064321">
        <w:rPr>
          <w:rFonts w:ascii="Times New Roman" w:hAnsi="Times New Roman" w:cs="Times New Roman"/>
        </w:rPr>
        <w:t xml:space="preserve">           а также государственных (муниципальных) казенных учреждений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Финансовое обеспечение деятельности бюджетных и автономных учреждений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Лицевые счета учреждений - участников бюджетного процесса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 xml:space="preserve">- Санкционирование расходов государственных (муниципальных) учреждений. 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Организация учета на счетах санкционирования расходов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Учет лимитов бюджетных обязательств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Учет бюджетных ассигнований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Промежуточный тест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Задание 1 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  <w:b/>
          <w:shd w:val="clear" w:color="auto" w:fill="FAFAFA"/>
        </w:rPr>
      </w:pPr>
      <w:r w:rsidRPr="00064321">
        <w:rPr>
          <w:rFonts w:ascii="Times New Roman" w:hAnsi="Times New Roman" w:cs="Times New Roman"/>
          <w:b/>
          <w:shd w:val="clear" w:color="auto" w:fill="FAFAFA"/>
        </w:rPr>
        <w:t>ЛЕКЦИЯ №3 Учет нефинансовых активов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Учет основных средств учреждений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Особенности начисления амортизации объектов основных средств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Учет вложений в объекты нефинансовых активов бюджетных учреждений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Учет вложений в основные средства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Учет нефинансовых активов в пути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Учет нематериальных активов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Учет  непроизведенных активов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lastRenderedPageBreak/>
        <w:t>- Учет материальных запасов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64321">
        <w:rPr>
          <w:sz w:val="22"/>
          <w:szCs w:val="22"/>
        </w:rPr>
        <w:t>Особенности  учета  реализации товаров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Промежуточный тест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Задание 1 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</w:p>
    <w:p w:rsidR="009F5C37" w:rsidRPr="00064321" w:rsidRDefault="009F5C37" w:rsidP="009F5C37">
      <w:pPr>
        <w:pStyle w:val="a3"/>
        <w:shd w:val="clear" w:color="auto" w:fill="FFFFFF"/>
        <w:contextualSpacing/>
        <w:rPr>
          <w:rStyle w:val="title"/>
          <w:b/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 </w:t>
      </w:r>
      <w:r w:rsidRPr="00064321">
        <w:rPr>
          <w:rStyle w:val="title"/>
          <w:b/>
          <w:sz w:val="22"/>
          <w:szCs w:val="22"/>
          <w:shd w:val="clear" w:color="auto" w:fill="FAFAFA"/>
        </w:rPr>
        <w:t>ЛЕКЦИЯ №4 Учет финансовых активов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rStyle w:val="title"/>
          <w:b/>
          <w:sz w:val="22"/>
          <w:szCs w:val="22"/>
          <w:shd w:val="clear" w:color="auto" w:fill="FAFAFA"/>
        </w:rPr>
      </w:pP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 - Денежные средства государственных (муниципальных) учреждений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 - Учет расчетов по доходам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 - Учет расчетов по выданным авансам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 -Учет расчетов с подотчетными лицами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 - Учет расчетов по ущербу и иным доходам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 - Учет прочих расчетов с дебиторами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 - Учет вложений в финансовые активы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 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b/>
          <w:sz w:val="22"/>
          <w:szCs w:val="22"/>
          <w:shd w:val="clear" w:color="auto" w:fill="FAFAFA"/>
        </w:rPr>
      </w:pPr>
      <w:r w:rsidRPr="00064321">
        <w:rPr>
          <w:b/>
          <w:sz w:val="22"/>
          <w:szCs w:val="22"/>
          <w:shd w:val="clear" w:color="auto" w:fill="FAFAFA"/>
        </w:rPr>
        <w:t>Лекция №4.1. Учет финансовых активов бюджетных (автономных) учреждений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b/>
          <w:sz w:val="22"/>
          <w:szCs w:val="22"/>
        </w:rPr>
      </w:pP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Денежные средства бюджетного (автономного) учреждения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Денежные средства в кассе бюджетного (автономного) учреждения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Финансовые вложения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Расчеты по доходам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- Расчеты с </w:t>
      </w:r>
      <w:proofErr w:type="spellStart"/>
      <w:r w:rsidRPr="00064321">
        <w:rPr>
          <w:sz w:val="22"/>
          <w:szCs w:val="22"/>
        </w:rPr>
        <w:t>подочетными</w:t>
      </w:r>
      <w:proofErr w:type="spellEnd"/>
      <w:r w:rsidRPr="00064321">
        <w:rPr>
          <w:sz w:val="22"/>
          <w:szCs w:val="22"/>
        </w:rPr>
        <w:t xml:space="preserve"> лицами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Расчеты по ущербу и иным доходам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Прочие расчеты с дебиторами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Промежуточный тест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Задание 1 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</w:p>
    <w:p w:rsidR="009F5C37" w:rsidRPr="00064321" w:rsidRDefault="009F5C37" w:rsidP="009F5C37">
      <w:pPr>
        <w:pStyle w:val="a3"/>
        <w:shd w:val="clear" w:color="auto" w:fill="FFFFFF"/>
        <w:contextualSpacing/>
        <w:rPr>
          <w:b/>
          <w:sz w:val="22"/>
          <w:szCs w:val="22"/>
          <w:shd w:val="clear" w:color="auto" w:fill="FAFAFA"/>
        </w:rPr>
      </w:pPr>
      <w:r w:rsidRPr="00064321">
        <w:rPr>
          <w:b/>
          <w:sz w:val="22"/>
          <w:szCs w:val="22"/>
          <w:shd w:val="clear" w:color="auto" w:fill="FAFAFA"/>
        </w:rPr>
        <w:t>ЛЕКЦИЯ №5 Учет расчетов по принятым обязательствам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b/>
          <w:sz w:val="22"/>
          <w:szCs w:val="22"/>
          <w:shd w:val="clear" w:color="auto" w:fill="FAFAFA"/>
        </w:rPr>
      </w:pP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 Учет расчетов по долговым обязательствам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 - Учет расчетов по принятым обязательствам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 Учет расчетов по платежам в бюджеты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 Учет обязательств перед прочими кредиторами</w:t>
      </w:r>
      <w:r w:rsidRPr="00064321">
        <w:rPr>
          <w:sz w:val="22"/>
          <w:szCs w:val="22"/>
        </w:rPr>
        <w:cr/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rStyle w:val="title"/>
          <w:b/>
          <w:sz w:val="22"/>
          <w:szCs w:val="22"/>
          <w:shd w:val="clear" w:color="auto" w:fill="FAFAFA"/>
        </w:rPr>
      </w:pPr>
      <w:r w:rsidRPr="00064321">
        <w:rPr>
          <w:rStyle w:val="title"/>
          <w:b/>
          <w:sz w:val="22"/>
          <w:szCs w:val="22"/>
          <w:shd w:val="clear" w:color="auto" w:fill="FAFAFA"/>
        </w:rPr>
        <w:t>ЛЕКЦЯ №5.1 Учет расчетов по обязательствам бюджетных и автономных учреждений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b/>
          <w:sz w:val="22"/>
          <w:szCs w:val="22"/>
        </w:rPr>
      </w:pP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 Учет расчетов по долговым обязательствам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 Учет расчетов по принятым обязательствам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 Учет расчетов по платежам в бюджеты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</w:rPr>
        <w:t>- Учет обязательств перед прочими кредиторами</w:t>
      </w:r>
      <w:r w:rsidRPr="00064321">
        <w:rPr>
          <w:sz w:val="22"/>
          <w:szCs w:val="22"/>
        </w:rPr>
        <w:cr/>
      </w:r>
      <w:r w:rsidRPr="00064321">
        <w:rPr>
          <w:sz w:val="22"/>
          <w:szCs w:val="22"/>
          <w:shd w:val="clear" w:color="auto" w:fill="FAFAFA"/>
        </w:rPr>
        <w:t>Промежуточный тест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Задание 1 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b/>
          <w:sz w:val="22"/>
          <w:szCs w:val="22"/>
          <w:shd w:val="clear" w:color="auto" w:fill="FAFAFA"/>
        </w:rPr>
      </w:pPr>
    </w:p>
    <w:p w:rsidR="009F5C37" w:rsidRPr="00064321" w:rsidRDefault="009F5C37" w:rsidP="009F5C37">
      <w:pPr>
        <w:pStyle w:val="a3"/>
        <w:shd w:val="clear" w:color="auto" w:fill="FFFFFF"/>
        <w:contextualSpacing/>
        <w:rPr>
          <w:b/>
          <w:sz w:val="22"/>
          <w:szCs w:val="22"/>
          <w:shd w:val="clear" w:color="auto" w:fill="FAFAFA"/>
        </w:rPr>
      </w:pPr>
      <w:r w:rsidRPr="00064321">
        <w:rPr>
          <w:b/>
          <w:sz w:val="22"/>
          <w:szCs w:val="22"/>
          <w:shd w:val="clear" w:color="auto" w:fill="FAFAFA"/>
        </w:rPr>
        <w:t>ЛЕКЦИЯ №6 Учет финансового результата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b/>
          <w:sz w:val="22"/>
          <w:szCs w:val="22"/>
          <w:shd w:val="clear" w:color="auto" w:fill="FAFAFA"/>
        </w:rPr>
      </w:pP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Операции по доходам и расходам и отражение их в учете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государственных (муниципальных) учреждений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Особенности признания и учета доходов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Особенности признания и учета расходов учреждения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Операции по заключению счетов текущего отчетного года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Особенности формирования резервов предстоящих доходов и расходов будущих периодов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- Учет на </w:t>
      </w:r>
      <w:proofErr w:type="spellStart"/>
      <w:r w:rsidRPr="00064321">
        <w:rPr>
          <w:sz w:val="22"/>
          <w:szCs w:val="22"/>
        </w:rPr>
        <w:t>забалансовых</w:t>
      </w:r>
      <w:proofErr w:type="spellEnd"/>
      <w:r w:rsidRPr="00064321">
        <w:rPr>
          <w:sz w:val="22"/>
          <w:szCs w:val="22"/>
        </w:rPr>
        <w:t xml:space="preserve"> счетах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Промежуточный тест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Задание 1 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Итоговое тестирование</w:t>
      </w:r>
    </w:p>
    <w:p w:rsidR="00C22232" w:rsidRDefault="00C22232"/>
    <w:sectPr w:rsidR="00C22232" w:rsidSect="009F5C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7"/>
    <w:rsid w:val="009F5C37"/>
    <w:rsid w:val="00C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9F5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9F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tt.bi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1</cp:revision>
  <dcterms:created xsi:type="dcterms:W3CDTF">2019-10-30T13:33:00Z</dcterms:created>
  <dcterms:modified xsi:type="dcterms:W3CDTF">2019-10-30T13:34:00Z</dcterms:modified>
</cp:coreProperties>
</file>